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F53" w:rsidRPr="00AC71D9" w:rsidRDefault="008D2848" w:rsidP="00AC71D9">
      <w:pPr>
        <w:rPr>
          <w:b/>
          <w:bCs/>
        </w:rPr>
      </w:pPr>
      <w:bookmarkStart w:id="0" w:name="_GoBack"/>
      <w:bookmarkEnd w:id="0"/>
      <w:r>
        <w:rPr>
          <w:noProof/>
        </w:rPr>
        <w:drawing>
          <wp:anchor distT="0" distB="0" distL="114300" distR="114300" simplePos="0" relativeHeight="251659264" behindDoc="1" locked="0" layoutInCell="1" allowOverlap="1" wp14:anchorId="0666669E" wp14:editId="217B79AB">
            <wp:simplePos x="0" y="0"/>
            <wp:positionH relativeFrom="column">
              <wp:posOffset>0</wp:posOffset>
            </wp:positionH>
            <wp:positionV relativeFrom="paragraph">
              <wp:posOffset>-182245</wp:posOffset>
            </wp:positionV>
            <wp:extent cx="990600" cy="13797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379764"/>
                    </a:xfrm>
                    <a:prstGeom prst="rect">
                      <a:avLst/>
                    </a:prstGeom>
                    <a:noFill/>
                  </pic:spPr>
                </pic:pic>
              </a:graphicData>
            </a:graphic>
            <wp14:sizeRelH relativeFrom="page">
              <wp14:pctWidth>0</wp14:pctWidth>
            </wp14:sizeRelH>
            <wp14:sizeRelV relativeFrom="page">
              <wp14:pctHeight>0</wp14:pctHeight>
            </wp14:sizeRelV>
          </wp:anchor>
        </w:drawing>
      </w:r>
    </w:p>
    <w:p w:rsidR="006B1F53" w:rsidRDefault="006B1F53" w:rsidP="006B1F53">
      <w:pPr>
        <w:pStyle w:val="ListParagraph"/>
        <w:rPr>
          <w:b/>
          <w:bCs/>
        </w:rPr>
      </w:pPr>
    </w:p>
    <w:p w:rsidR="00AC71D9" w:rsidRDefault="00AC71D9" w:rsidP="00AC71D9">
      <w:pPr>
        <w:pStyle w:val="ListParagraph"/>
        <w:ind w:left="0"/>
        <w:rPr>
          <w:rFonts w:asciiTheme="minorHAnsi" w:hAnsiTheme="minorHAnsi"/>
          <w:bCs/>
        </w:rPr>
      </w:pPr>
    </w:p>
    <w:p w:rsidR="00C237DC" w:rsidRDefault="00C237DC" w:rsidP="00AC71D9">
      <w:pPr>
        <w:pStyle w:val="ListParagraph"/>
        <w:ind w:left="0"/>
        <w:rPr>
          <w:rFonts w:asciiTheme="minorHAnsi" w:hAnsiTheme="minorHAnsi"/>
          <w:bCs/>
        </w:rPr>
      </w:pPr>
    </w:p>
    <w:p w:rsidR="00C237DC" w:rsidRDefault="00C237DC" w:rsidP="00AC71D9">
      <w:pPr>
        <w:pStyle w:val="ListParagraph"/>
        <w:ind w:left="0"/>
        <w:rPr>
          <w:rFonts w:asciiTheme="minorHAnsi" w:hAnsiTheme="minorHAnsi"/>
          <w:bCs/>
        </w:rPr>
      </w:pPr>
    </w:p>
    <w:p w:rsidR="00C237DC" w:rsidRDefault="00C237DC" w:rsidP="00C237DC">
      <w:pPr>
        <w:pStyle w:val="ListParagraph"/>
        <w:ind w:left="0"/>
        <w:jc w:val="center"/>
        <w:rPr>
          <w:rFonts w:asciiTheme="minorHAnsi" w:hAnsiTheme="minorHAnsi"/>
          <w:b/>
          <w:bCs/>
          <w:sz w:val="28"/>
          <w:szCs w:val="28"/>
        </w:rPr>
      </w:pPr>
    </w:p>
    <w:p w:rsidR="00C237DC" w:rsidRDefault="00C237DC" w:rsidP="00C237DC">
      <w:pPr>
        <w:pStyle w:val="ListParagraph"/>
        <w:ind w:left="0"/>
        <w:jc w:val="center"/>
        <w:rPr>
          <w:rFonts w:asciiTheme="minorHAnsi" w:hAnsiTheme="minorHAnsi"/>
          <w:b/>
          <w:bCs/>
          <w:sz w:val="28"/>
          <w:szCs w:val="28"/>
        </w:rPr>
      </w:pPr>
    </w:p>
    <w:p w:rsidR="00C237DC" w:rsidRDefault="00C237DC" w:rsidP="00C237DC">
      <w:pPr>
        <w:pStyle w:val="ListParagraph"/>
        <w:ind w:left="0"/>
        <w:jc w:val="center"/>
        <w:rPr>
          <w:rFonts w:asciiTheme="minorHAnsi" w:hAnsiTheme="minorHAnsi"/>
          <w:b/>
          <w:bCs/>
          <w:sz w:val="28"/>
          <w:szCs w:val="28"/>
        </w:rPr>
      </w:pPr>
    </w:p>
    <w:p w:rsidR="00C237DC" w:rsidRPr="00C237DC" w:rsidRDefault="00C237DC" w:rsidP="00C237DC">
      <w:pPr>
        <w:pStyle w:val="ListParagraph"/>
        <w:ind w:left="0"/>
        <w:jc w:val="center"/>
        <w:rPr>
          <w:rFonts w:asciiTheme="minorHAnsi" w:hAnsiTheme="minorHAnsi"/>
          <w:b/>
          <w:bCs/>
          <w:sz w:val="28"/>
          <w:szCs w:val="28"/>
        </w:rPr>
      </w:pPr>
      <w:r w:rsidRPr="00C237DC">
        <w:rPr>
          <w:rFonts w:asciiTheme="minorHAnsi" w:hAnsiTheme="minorHAnsi"/>
          <w:b/>
          <w:bCs/>
          <w:sz w:val="28"/>
          <w:szCs w:val="28"/>
        </w:rPr>
        <w:t>Appeals Process for Accreditation Applications with NCA</w:t>
      </w:r>
    </w:p>
    <w:p w:rsidR="008F6A7F" w:rsidRDefault="008F6A7F" w:rsidP="00AC71D9">
      <w:pPr>
        <w:pStyle w:val="ListParagraph"/>
        <w:ind w:left="0"/>
        <w:rPr>
          <w:rFonts w:asciiTheme="minorHAnsi" w:hAnsiTheme="minorHAnsi"/>
          <w:b/>
          <w:bCs/>
        </w:rPr>
      </w:pPr>
    </w:p>
    <w:p w:rsidR="008F6A7F" w:rsidRDefault="008F6A7F" w:rsidP="00AC71D9">
      <w:pPr>
        <w:pStyle w:val="ListParagraph"/>
        <w:ind w:left="0"/>
        <w:rPr>
          <w:rFonts w:asciiTheme="minorHAnsi" w:hAnsiTheme="minorHAnsi"/>
          <w:b/>
          <w:bCs/>
        </w:rPr>
      </w:pPr>
    </w:p>
    <w:p w:rsidR="00AC71D9" w:rsidRPr="00AC71D9" w:rsidRDefault="00AC71D9" w:rsidP="00AC71D9">
      <w:pPr>
        <w:pStyle w:val="ListParagraph"/>
        <w:ind w:left="0" w:firstLine="720"/>
        <w:rPr>
          <w:rFonts w:asciiTheme="minorHAnsi" w:hAnsiTheme="minorHAnsi"/>
          <w:b/>
          <w:bCs/>
          <w:sz w:val="24"/>
          <w:szCs w:val="24"/>
        </w:rPr>
      </w:pPr>
      <w:r w:rsidRPr="00AC71D9">
        <w:rPr>
          <w:rFonts w:asciiTheme="minorHAnsi" w:hAnsiTheme="minorHAnsi"/>
          <w:b/>
          <w:bCs/>
          <w:sz w:val="24"/>
          <w:szCs w:val="24"/>
        </w:rPr>
        <w:t xml:space="preserve">Accreditation decisions may be appealed by an NCA accreditation applicant </w:t>
      </w:r>
      <w:r w:rsidRPr="00AC71D9">
        <w:rPr>
          <w:rFonts w:asciiTheme="minorHAnsi" w:hAnsiTheme="minorHAnsi"/>
          <w:b/>
          <w:bCs/>
          <w:i/>
          <w:iCs/>
          <w:sz w:val="24"/>
          <w:szCs w:val="24"/>
        </w:rPr>
        <w:t>after</w:t>
      </w:r>
      <w:r w:rsidRPr="00AC71D9">
        <w:rPr>
          <w:rFonts w:asciiTheme="minorHAnsi" w:hAnsiTheme="minorHAnsi"/>
          <w:b/>
          <w:bCs/>
          <w:sz w:val="24"/>
          <w:szCs w:val="24"/>
        </w:rPr>
        <w:t xml:space="preserve"> the decision has been voted on by the NCA Board of Directors.  The CAC applicant must submit a formal letter of intent to appeal the decision.  The letter of appeal should include specific information describing the findings and evidence made by the site reviewers that the CAC feels were missing or stated inaccurately.  Upon receipt of the letter of appeal, the NCA Appeal Process will be as follows:</w:t>
      </w:r>
    </w:p>
    <w:p w:rsidR="00AC71D9" w:rsidRPr="00AC71D9" w:rsidRDefault="00AC71D9" w:rsidP="00AC71D9">
      <w:pPr>
        <w:rPr>
          <w:rFonts w:cs="Arial"/>
          <w:bCs/>
          <w:sz w:val="24"/>
          <w:szCs w:val="24"/>
          <w:u w:val="single"/>
        </w:rPr>
      </w:pPr>
    </w:p>
    <w:p w:rsidR="00AC71D9" w:rsidRPr="00AC71D9" w:rsidRDefault="00AC71D9" w:rsidP="00AC71D9">
      <w:pPr>
        <w:ind w:firstLine="720"/>
        <w:rPr>
          <w:rFonts w:cs="Arial"/>
          <w:b/>
          <w:bCs/>
          <w:sz w:val="24"/>
          <w:szCs w:val="24"/>
          <w:u w:val="single"/>
        </w:rPr>
      </w:pPr>
      <w:r w:rsidRPr="00AC71D9">
        <w:rPr>
          <w:rFonts w:cs="Arial"/>
          <w:b/>
          <w:bCs/>
          <w:sz w:val="24"/>
          <w:szCs w:val="24"/>
          <w:u w:val="single"/>
        </w:rPr>
        <w:t>Accreditation Committee Appeals Process</w:t>
      </w:r>
    </w:p>
    <w:p w:rsidR="00AC71D9" w:rsidRPr="00AC71D9" w:rsidRDefault="00AC71D9" w:rsidP="00AC71D9">
      <w:pPr>
        <w:spacing w:after="0"/>
        <w:ind w:firstLine="720"/>
        <w:rPr>
          <w:rFonts w:cs="Arial"/>
          <w:bCs/>
          <w:i/>
          <w:iCs/>
          <w:sz w:val="24"/>
          <w:szCs w:val="24"/>
        </w:rPr>
      </w:pPr>
      <w:r w:rsidRPr="00AC71D9">
        <w:rPr>
          <w:rFonts w:cs="Arial"/>
          <w:bCs/>
          <w:i/>
          <w:iCs/>
          <w:sz w:val="24"/>
          <w:szCs w:val="24"/>
        </w:rPr>
        <w:t>Prior steps (in accordance with NCA Accreditation Guidelines)</w:t>
      </w:r>
    </w:p>
    <w:p w:rsidR="00AC71D9" w:rsidRPr="00AC71D9" w:rsidRDefault="00AC71D9" w:rsidP="00AC71D9">
      <w:pPr>
        <w:numPr>
          <w:ilvl w:val="0"/>
          <w:numId w:val="1"/>
        </w:numPr>
        <w:spacing w:after="0" w:line="240" w:lineRule="auto"/>
        <w:rPr>
          <w:rFonts w:cs="Arial"/>
          <w:sz w:val="24"/>
          <w:szCs w:val="24"/>
        </w:rPr>
      </w:pPr>
      <w:r w:rsidRPr="00AC71D9">
        <w:rPr>
          <w:rFonts w:cs="Arial"/>
          <w:sz w:val="24"/>
          <w:szCs w:val="24"/>
        </w:rPr>
        <w:t>Notice of intent to appeal has been submitted by site.</w:t>
      </w:r>
    </w:p>
    <w:p w:rsidR="00AC71D9" w:rsidRPr="00AC71D9" w:rsidRDefault="00AC71D9" w:rsidP="00AC71D9">
      <w:pPr>
        <w:numPr>
          <w:ilvl w:val="0"/>
          <w:numId w:val="1"/>
        </w:numPr>
        <w:spacing w:after="0" w:line="240" w:lineRule="auto"/>
        <w:rPr>
          <w:rFonts w:cs="Arial"/>
          <w:sz w:val="24"/>
          <w:szCs w:val="24"/>
        </w:rPr>
      </w:pPr>
      <w:r w:rsidRPr="00AC71D9">
        <w:rPr>
          <w:rFonts w:cs="Arial"/>
          <w:sz w:val="24"/>
          <w:szCs w:val="24"/>
        </w:rPr>
        <w:t>Letter of appeal has been submitted by site and forwarded to the Executive Committee.</w:t>
      </w:r>
    </w:p>
    <w:p w:rsidR="00AC71D9" w:rsidRPr="00AC71D9" w:rsidRDefault="00AC71D9" w:rsidP="00AC71D9">
      <w:pPr>
        <w:numPr>
          <w:ilvl w:val="0"/>
          <w:numId w:val="1"/>
        </w:numPr>
        <w:spacing w:after="0" w:line="240" w:lineRule="auto"/>
        <w:rPr>
          <w:rFonts w:cs="Arial"/>
          <w:sz w:val="24"/>
          <w:szCs w:val="24"/>
        </w:rPr>
      </w:pPr>
      <w:r w:rsidRPr="00AC71D9">
        <w:rPr>
          <w:rFonts w:cs="Arial"/>
          <w:sz w:val="24"/>
          <w:szCs w:val="24"/>
        </w:rPr>
        <w:t>Executive Committee has reviewed the letter of appeal and determined that it is worth further review.  The matter has been forwarded to the Accreditation Committee for review.</w:t>
      </w:r>
    </w:p>
    <w:p w:rsidR="00AC71D9" w:rsidRPr="00AC71D9" w:rsidRDefault="00AC71D9" w:rsidP="00AC71D9">
      <w:pPr>
        <w:pStyle w:val="Heading1"/>
        <w:ind w:firstLine="720"/>
        <w:rPr>
          <w:rFonts w:asciiTheme="minorHAnsi" w:eastAsia="Times New Roman" w:hAnsiTheme="minorHAnsi"/>
          <w:b w:val="0"/>
        </w:rPr>
      </w:pPr>
    </w:p>
    <w:p w:rsidR="00AC71D9" w:rsidRPr="00AC71D9" w:rsidRDefault="00AC71D9" w:rsidP="00AC71D9">
      <w:pPr>
        <w:pStyle w:val="Heading1"/>
        <w:ind w:firstLine="720"/>
        <w:rPr>
          <w:rFonts w:asciiTheme="minorHAnsi" w:eastAsia="Times New Roman" w:hAnsiTheme="minorHAnsi"/>
          <w:b w:val="0"/>
        </w:rPr>
      </w:pPr>
      <w:r w:rsidRPr="00AC71D9">
        <w:rPr>
          <w:rFonts w:asciiTheme="minorHAnsi" w:eastAsia="Times New Roman" w:hAnsiTheme="minorHAnsi"/>
          <w:b w:val="0"/>
        </w:rPr>
        <w:t>Expectations of Accreditation Committee</w:t>
      </w:r>
    </w:p>
    <w:p w:rsidR="00AC71D9" w:rsidRPr="00AC71D9" w:rsidRDefault="00AC71D9" w:rsidP="00AC71D9">
      <w:pPr>
        <w:numPr>
          <w:ilvl w:val="0"/>
          <w:numId w:val="2"/>
        </w:numPr>
        <w:spacing w:after="0" w:line="240" w:lineRule="auto"/>
        <w:rPr>
          <w:rFonts w:cs="Arial"/>
          <w:sz w:val="24"/>
          <w:szCs w:val="24"/>
        </w:rPr>
      </w:pPr>
      <w:r w:rsidRPr="00AC71D9">
        <w:rPr>
          <w:rFonts w:cs="Arial"/>
          <w:sz w:val="24"/>
          <w:szCs w:val="24"/>
        </w:rPr>
        <w:t>Review any and all appropriate material.  Requests for information will be honored.</w:t>
      </w:r>
    </w:p>
    <w:p w:rsidR="00AC71D9" w:rsidRPr="00AC71D9" w:rsidRDefault="00AC71D9" w:rsidP="00AC71D9">
      <w:pPr>
        <w:numPr>
          <w:ilvl w:val="0"/>
          <w:numId w:val="2"/>
        </w:numPr>
        <w:spacing w:after="0" w:line="240" w:lineRule="auto"/>
        <w:rPr>
          <w:rFonts w:cs="Arial"/>
          <w:sz w:val="24"/>
          <w:szCs w:val="24"/>
        </w:rPr>
      </w:pPr>
      <w:r w:rsidRPr="00AC71D9">
        <w:rPr>
          <w:rFonts w:cs="Arial"/>
          <w:sz w:val="24"/>
          <w:szCs w:val="24"/>
        </w:rPr>
        <w:t>Prepare an appeals report to be sent to the board.  The report will either (1) concur with the recommendations of the reviewers and affirm the decision of the board or (2) refer the matter back to the board with recommendations for action.  Both of these decisions are final and afford the center no right of further appeal.</w:t>
      </w:r>
    </w:p>
    <w:p w:rsidR="003B6533" w:rsidRDefault="003B6533"/>
    <w:sectPr w:rsidR="003B65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1D9" w:rsidRDefault="00AC71D9" w:rsidP="00AC71D9">
      <w:pPr>
        <w:spacing w:after="0" w:line="240" w:lineRule="auto"/>
      </w:pPr>
      <w:r>
        <w:separator/>
      </w:r>
    </w:p>
  </w:endnote>
  <w:endnote w:type="continuationSeparator" w:id="0">
    <w:p w:rsidR="00AC71D9" w:rsidRDefault="00AC71D9" w:rsidP="00AC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1D9" w:rsidRDefault="00AC71D9" w:rsidP="00AC71D9">
      <w:pPr>
        <w:spacing w:after="0" w:line="240" w:lineRule="auto"/>
      </w:pPr>
      <w:r>
        <w:separator/>
      </w:r>
    </w:p>
  </w:footnote>
  <w:footnote w:type="continuationSeparator" w:id="0">
    <w:p w:rsidR="00AC71D9" w:rsidRDefault="00AC71D9" w:rsidP="00AC7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895951"/>
    <w:multiLevelType w:val="hybridMultilevel"/>
    <w:tmpl w:val="9698BA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6E144847"/>
    <w:multiLevelType w:val="hybridMultilevel"/>
    <w:tmpl w:val="2C3449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53"/>
    <w:rsid w:val="003B6533"/>
    <w:rsid w:val="006B1F53"/>
    <w:rsid w:val="008D2848"/>
    <w:rsid w:val="008F6A7F"/>
    <w:rsid w:val="00AC71D9"/>
    <w:rsid w:val="00C237DC"/>
    <w:rsid w:val="00D479E7"/>
    <w:rsid w:val="00F8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94CD7-C9ED-474E-BA60-91DC8B31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71D9"/>
    <w:pPr>
      <w:keepNext/>
      <w:spacing w:after="0" w:line="240" w:lineRule="auto"/>
      <w:outlineLvl w:val="0"/>
    </w:pPr>
    <w:rPr>
      <w:rFonts w:ascii="Arial" w:hAnsi="Arial" w:cs="Arial"/>
      <w:b/>
      <w:bCs/>
      <w:i/>
      <w:i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53"/>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AC71D9"/>
    <w:rPr>
      <w:rFonts w:ascii="Arial" w:hAnsi="Arial" w:cs="Arial"/>
      <w:b/>
      <w:bCs/>
      <w:i/>
      <w:iCs/>
      <w:kern w:val="36"/>
      <w:sz w:val="24"/>
      <w:szCs w:val="24"/>
    </w:rPr>
  </w:style>
  <w:style w:type="paragraph" w:styleId="Header">
    <w:name w:val="header"/>
    <w:basedOn w:val="Normal"/>
    <w:link w:val="HeaderChar"/>
    <w:uiPriority w:val="99"/>
    <w:unhideWhenUsed/>
    <w:rsid w:val="00AC7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1D9"/>
  </w:style>
  <w:style w:type="paragraph" w:styleId="Footer">
    <w:name w:val="footer"/>
    <w:basedOn w:val="Normal"/>
    <w:link w:val="FooterChar"/>
    <w:uiPriority w:val="99"/>
    <w:unhideWhenUsed/>
    <w:rsid w:val="00AC7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4492">
      <w:bodyDiv w:val="1"/>
      <w:marLeft w:val="0"/>
      <w:marRight w:val="0"/>
      <w:marTop w:val="0"/>
      <w:marBottom w:val="0"/>
      <w:divBdr>
        <w:top w:val="none" w:sz="0" w:space="0" w:color="auto"/>
        <w:left w:val="none" w:sz="0" w:space="0" w:color="auto"/>
        <w:bottom w:val="none" w:sz="0" w:space="0" w:color="auto"/>
        <w:right w:val="none" w:sz="0" w:space="0" w:color="auto"/>
      </w:divBdr>
    </w:div>
    <w:div w:id="540166802">
      <w:bodyDiv w:val="1"/>
      <w:marLeft w:val="0"/>
      <w:marRight w:val="0"/>
      <w:marTop w:val="0"/>
      <w:marBottom w:val="0"/>
      <w:divBdr>
        <w:top w:val="none" w:sz="0" w:space="0" w:color="auto"/>
        <w:left w:val="none" w:sz="0" w:space="0" w:color="auto"/>
        <w:bottom w:val="none" w:sz="0" w:space="0" w:color="auto"/>
        <w:right w:val="none" w:sz="0" w:space="0" w:color="auto"/>
      </w:divBdr>
    </w:div>
    <w:div w:id="142988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Thiel</dc:creator>
  <cp:keywords/>
  <dc:description/>
  <cp:lastModifiedBy>Madeline Thiel</cp:lastModifiedBy>
  <cp:revision>2</cp:revision>
  <dcterms:created xsi:type="dcterms:W3CDTF">2015-01-14T19:27:00Z</dcterms:created>
  <dcterms:modified xsi:type="dcterms:W3CDTF">2015-01-14T19:27:00Z</dcterms:modified>
</cp:coreProperties>
</file>