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C8A" w:rsidRPr="00C87D83" w:rsidRDefault="006B2C81" w:rsidP="00D83C8A">
      <w:pPr>
        <w:jc w:val="center"/>
        <w:rPr>
          <w:rFonts w:ascii="Times New Roman" w:hAnsi="Times New Roman"/>
          <w:b/>
          <w:sz w:val="24"/>
          <w:szCs w:val="24"/>
          <w:u w:val="single"/>
        </w:rPr>
      </w:pPr>
      <w:bookmarkStart w:id="0" w:name="_GoBack"/>
      <w:bookmarkEnd w:id="0"/>
      <w:r>
        <w:rPr>
          <w:rFonts w:ascii="Times New Roman" w:hAnsi="Times New Roman"/>
          <w:b/>
          <w:sz w:val="24"/>
          <w:szCs w:val="24"/>
          <w:u w:val="single"/>
        </w:rPr>
        <w:t>2020</w:t>
      </w:r>
      <w:r w:rsidR="00D83C8A" w:rsidRPr="00C87D83">
        <w:rPr>
          <w:rFonts w:ascii="Times New Roman" w:hAnsi="Times New Roman"/>
          <w:b/>
          <w:sz w:val="24"/>
          <w:szCs w:val="24"/>
          <w:u w:val="single"/>
        </w:rPr>
        <w:t xml:space="preserve"> COST LIST FOR SUB-AWARDS UNDER QUALITY IMPROVEMENT AND ACCREDITATION ADVANCEMENT GRANTS</w:t>
      </w:r>
    </w:p>
    <w:p w:rsidR="00D83C8A" w:rsidRPr="005E2810" w:rsidRDefault="00D83C8A" w:rsidP="00D83C8A">
      <w:pPr>
        <w:pStyle w:val="Heading2"/>
        <w:jc w:val="both"/>
        <w:rPr>
          <w:rFonts w:ascii="Times New Roman" w:hAnsi="Times New Roman"/>
          <w:b w:val="0"/>
          <w:bCs/>
          <w:iCs/>
          <w:sz w:val="22"/>
          <w:szCs w:val="22"/>
        </w:rPr>
      </w:pPr>
    </w:p>
    <w:p w:rsidR="00D83C8A" w:rsidRPr="00D61250" w:rsidRDefault="00D83C8A" w:rsidP="00D83C8A">
      <w:pPr>
        <w:pStyle w:val="Heading2"/>
        <w:jc w:val="both"/>
        <w:rPr>
          <w:rFonts w:ascii="Times New Roman" w:hAnsi="Times New Roman"/>
          <w:b w:val="0"/>
          <w:bCs/>
          <w:iCs/>
          <w:sz w:val="20"/>
          <w:szCs w:val="22"/>
        </w:rPr>
      </w:pPr>
      <w:r w:rsidRPr="00D61250">
        <w:rPr>
          <w:rFonts w:ascii="Times New Roman" w:hAnsi="Times New Roman"/>
          <w:b w:val="0"/>
          <w:bCs/>
          <w:iCs/>
          <w:sz w:val="20"/>
          <w:szCs w:val="22"/>
        </w:rPr>
        <w:t>Allowable costs are those costs consistent with the principles set out in the Uniform Guidance 2 C.F.R. § 200, Subpart E, and those permitted by the grant program’s authorizing legislation and the pass-throug</w:t>
      </w:r>
      <w:r>
        <w:rPr>
          <w:rFonts w:ascii="Times New Roman" w:hAnsi="Times New Roman"/>
          <w:b w:val="0"/>
          <w:bCs/>
          <w:iCs/>
          <w:sz w:val="20"/>
          <w:szCs w:val="22"/>
        </w:rPr>
        <w:t>h entity.</w:t>
      </w:r>
      <w:r w:rsidRPr="00D61250">
        <w:rPr>
          <w:rFonts w:ascii="Times New Roman" w:hAnsi="Times New Roman"/>
          <w:b w:val="0"/>
          <w:bCs/>
          <w:iCs/>
          <w:sz w:val="20"/>
          <w:szCs w:val="22"/>
        </w:rPr>
        <w:t xml:space="preserve"> To be allowable under Federal awards,</w:t>
      </w:r>
      <w:r>
        <w:rPr>
          <w:rFonts w:ascii="Times New Roman" w:hAnsi="Times New Roman"/>
          <w:b w:val="0"/>
          <w:bCs/>
          <w:iCs/>
          <w:sz w:val="20"/>
          <w:szCs w:val="22"/>
        </w:rPr>
        <w:t xml:space="preserve"> costs must be reasonable, allow</w:t>
      </w:r>
      <w:r w:rsidRPr="00D61250">
        <w:rPr>
          <w:rFonts w:ascii="Times New Roman" w:hAnsi="Times New Roman"/>
          <w:b w:val="0"/>
          <w:bCs/>
          <w:iCs/>
          <w:sz w:val="20"/>
          <w:szCs w:val="22"/>
        </w:rPr>
        <w:t xml:space="preserve">able, and necessary to the project, and they must also comply with the funding statute and NCA requirements. </w:t>
      </w:r>
    </w:p>
    <w:p w:rsidR="00D83C8A" w:rsidRPr="00D61250" w:rsidRDefault="00D83C8A" w:rsidP="00D83C8A">
      <w:pPr>
        <w:pStyle w:val="Heading2"/>
        <w:jc w:val="both"/>
        <w:rPr>
          <w:rFonts w:ascii="Times New Roman" w:hAnsi="Times New Roman"/>
          <w:b w:val="0"/>
          <w:bCs/>
          <w:iCs/>
          <w:sz w:val="20"/>
          <w:szCs w:val="22"/>
        </w:rPr>
      </w:pPr>
    </w:p>
    <w:p w:rsidR="00D83C8A" w:rsidRPr="001119D0" w:rsidRDefault="00D83C8A" w:rsidP="00D83C8A">
      <w:pPr>
        <w:pStyle w:val="Heading2"/>
        <w:jc w:val="both"/>
        <w:rPr>
          <w:rFonts w:ascii="Times New Roman" w:hAnsi="Times New Roman"/>
          <w:b w:val="0"/>
          <w:bCs/>
          <w:iCs/>
          <w:sz w:val="20"/>
          <w:szCs w:val="22"/>
        </w:rPr>
      </w:pPr>
      <w:r w:rsidRPr="00D61250">
        <w:rPr>
          <w:rFonts w:ascii="Times New Roman" w:hAnsi="Times New Roman"/>
          <w:b w:val="0"/>
          <w:bCs/>
          <w:iCs/>
          <w:sz w:val="20"/>
          <w:szCs w:val="22"/>
        </w:rPr>
        <w:t xml:space="preserve">All costs must be incurred during the grant year. Please direct questions about specific items to the Grants Management Department </w:t>
      </w:r>
      <w:r w:rsidRPr="00730A53">
        <w:rPr>
          <w:rFonts w:ascii="Times New Roman" w:hAnsi="Times New Roman"/>
          <w:b w:val="0"/>
          <w:bCs/>
          <w:iCs/>
          <w:sz w:val="20"/>
          <w:szCs w:val="22"/>
        </w:rPr>
        <w:t>at 1-800-239-9950.</w:t>
      </w:r>
      <w:r w:rsidRPr="00D61250">
        <w:rPr>
          <w:rFonts w:ascii="Times New Roman" w:hAnsi="Times New Roman"/>
          <w:b w:val="0"/>
          <w:bCs/>
          <w:iCs/>
          <w:sz w:val="20"/>
          <w:szCs w:val="22"/>
        </w:rPr>
        <w:t xml:space="preserve"> For additional guidance and information please review the DOJ Financial Guide at</w:t>
      </w:r>
      <w:r>
        <w:rPr>
          <w:rFonts w:ascii="Times New Roman" w:hAnsi="Times New Roman"/>
          <w:b w:val="0"/>
          <w:bCs/>
          <w:iCs/>
          <w:sz w:val="20"/>
          <w:szCs w:val="22"/>
        </w:rPr>
        <w:fldChar w:fldCharType="begin"/>
      </w:r>
      <w:r>
        <w:rPr>
          <w:rFonts w:ascii="Times New Roman" w:hAnsi="Times New Roman"/>
          <w:b w:val="0"/>
          <w:bCs/>
          <w:iCs/>
          <w:sz w:val="20"/>
          <w:szCs w:val="22"/>
        </w:rPr>
        <w:instrText xml:space="preserve"> HYPERLINK "</w:instrText>
      </w:r>
      <w:r w:rsidRPr="001119D0">
        <w:rPr>
          <w:rFonts w:ascii="Times New Roman" w:hAnsi="Times New Roman"/>
          <w:b w:val="0"/>
          <w:bCs/>
          <w:iCs/>
          <w:sz w:val="20"/>
          <w:szCs w:val="22"/>
        </w:rPr>
        <w:instrText xml:space="preserve"> http://www.ojp.usdoj.gov/financialguide</w:instrText>
      </w:r>
    </w:p>
    <w:p w:rsidR="00D83C8A" w:rsidRPr="00ED1B32" w:rsidRDefault="00D83C8A" w:rsidP="00D83C8A">
      <w:pPr>
        <w:pStyle w:val="Heading2"/>
        <w:jc w:val="both"/>
        <w:rPr>
          <w:rStyle w:val="Hyperlink"/>
          <w:rFonts w:ascii="Times New Roman" w:hAnsi="Times New Roman"/>
          <w:b w:val="0"/>
          <w:bCs/>
          <w:iCs/>
          <w:sz w:val="20"/>
          <w:szCs w:val="22"/>
        </w:rPr>
      </w:pPr>
      <w:r>
        <w:rPr>
          <w:rFonts w:ascii="Times New Roman" w:hAnsi="Times New Roman"/>
          <w:b w:val="0"/>
          <w:bCs/>
          <w:iCs/>
          <w:sz w:val="20"/>
          <w:szCs w:val="22"/>
        </w:rPr>
        <w:instrText xml:space="preserve">" </w:instrText>
      </w:r>
      <w:r>
        <w:rPr>
          <w:rFonts w:ascii="Times New Roman" w:hAnsi="Times New Roman"/>
          <w:b w:val="0"/>
          <w:bCs/>
          <w:iCs/>
          <w:sz w:val="20"/>
          <w:szCs w:val="22"/>
        </w:rPr>
        <w:fldChar w:fldCharType="separate"/>
      </w:r>
      <w:r w:rsidRPr="00ED1B32">
        <w:rPr>
          <w:rStyle w:val="Hyperlink"/>
          <w:rFonts w:ascii="Times New Roman" w:hAnsi="Times New Roman"/>
          <w:b w:val="0"/>
          <w:bCs/>
          <w:iCs/>
          <w:sz w:val="20"/>
          <w:szCs w:val="22"/>
        </w:rPr>
        <w:t xml:space="preserve"> http://www.ojp.usdoj.gov/financialguide</w:t>
      </w:r>
    </w:p>
    <w:p w:rsidR="00D83C8A" w:rsidRPr="001B2F9B" w:rsidRDefault="00D83C8A" w:rsidP="00D83C8A">
      <w:pPr>
        <w:jc w:val="both"/>
        <w:rPr>
          <w:sz w:val="28"/>
        </w:rPr>
      </w:pPr>
      <w:r>
        <w:rPr>
          <w:rFonts w:ascii="Times New Roman" w:hAnsi="Times New Roman"/>
          <w:b/>
          <w:bCs/>
          <w:iCs/>
          <w:szCs w:val="22"/>
        </w:rPr>
        <w:fldChar w:fldCharType="end"/>
      </w:r>
    </w:p>
    <w:p w:rsidR="00D83C8A" w:rsidRPr="00EC35C5" w:rsidRDefault="00D83C8A" w:rsidP="00D83C8A">
      <w:pPr>
        <w:pStyle w:val="ListParagraph"/>
        <w:rPr>
          <w:rFonts w:ascii="Times New Roman" w:hAnsi="Times New Roman"/>
          <w:sz w:val="22"/>
          <w:szCs w:val="22"/>
        </w:rPr>
      </w:pPr>
      <w:r w:rsidRPr="00F03749">
        <w:rPr>
          <w:rFonts w:ascii="Times New Roman" w:hAnsi="Times New Roman"/>
          <w:sz w:val="22"/>
          <w:szCs w:val="22"/>
        </w:rPr>
        <w:t xml:space="preserve">All costs submitted in the request for reimbursement need to be </w:t>
      </w:r>
      <w:r>
        <w:rPr>
          <w:rFonts w:ascii="Times New Roman" w:hAnsi="Times New Roman"/>
          <w:sz w:val="22"/>
          <w:szCs w:val="22"/>
        </w:rPr>
        <w:t>d</w:t>
      </w:r>
      <w:r w:rsidRPr="00F03749">
        <w:rPr>
          <w:rFonts w:ascii="Times New Roman" w:hAnsi="Times New Roman"/>
          <w:sz w:val="22"/>
          <w:szCs w:val="22"/>
        </w:rPr>
        <w:t>irectly linked to</w:t>
      </w:r>
      <w:r w:rsidRPr="00EC35C5">
        <w:rPr>
          <w:rFonts w:ascii="Times New Roman" w:hAnsi="Times New Roman"/>
          <w:sz w:val="22"/>
          <w:szCs w:val="22"/>
        </w:rPr>
        <w:t>:</w:t>
      </w:r>
    </w:p>
    <w:p w:rsidR="00D83C8A" w:rsidRPr="00EC35C5" w:rsidRDefault="00D83C8A" w:rsidP="00D83C8A">
      <w:pPr>
        <w:pStyle w:val="ListParagraph"/>
        <w:numPr>
          <w:ilvl w:val="5"/>
          <w:numId w:val="1"/>
        </w:numPr>
        <w:ind w:left="1800"/>
        <w:rPr>
          <w:rFonts w:ascii="Times New Roman" w:hAnsi="Times New Roman"/>
          <w:sz w:val="22"/>
          <w:szCs w:val="22"/>
        </w:rPr>
      </w:pPr>
      <w:r w:rsidRPr="00EC35C5">
        <w:rPr>
          <w:rFonts w:ascii="Times New Roman" w:hAnsi="Times New Roman"/>
          <w:sz w:val="22"/>
          <w:szCs w:val="22"/>
        </w:rPr>
        <w:t>CAC management and administrative support</w:t>
      </w:r>
      <w:r>
        <w:rPr>
          <w:rFonts w:ascii="Times New Roman" w:hAnsi="Times New Roman"/>
          <w:sz w:val="22"/>
          <w:szCs w:val="22"/>
        </w:rPr>
        <w:t>.</w:t>
      </w:r>
    </w:p>
    <w:p w:rsidR="00D83C8A" w:rsidRPr="00C0398B" w:rsidRDefault="00D83C8A" w:rsidP="00D83C8A">
      <w:pPr>
        <w:pStyle w:val="ListParagraph"/>
        <w:numPr>
          <w:ilvl w:val="5"/>
          <w:numId w:val="1"/>
        </w:numPr>
        <w:ind w:left="1800"/>
        <w:rPr>
          <w:rFonts w:ascii="Times New Roman" w:hAnsi="Times New Roman"/>
          <w:sz w:val="22"/>
          <w:szCs w:val="22"/>
        </w:rPr>
      </w:pPr>
      <w:r w:rsidRPr="00C0398B">
        <w:rPr>
          <w:rFonts w:ascii="Times New Roman" w:hAnsi="Times New Roman"/>
          <w:sz w:val="22"/>
          <w:szCs w:val="22"/>
        </w:rPr>
        <w:t xml:space="preserve">Direct Provision of services not currently  funded by the Victims of Crime Act (VOCA). Focus on </w:t>
      </w:r>
      <w:r>
        <w:rPr>
          <w:rFonts w:ascii="Times New Roman" w:hAnsi="Times New Roman"/>
          <w:sz w:val="22"/>
          <w:szCs w:val="22"/>
        </w:rPr>
        <w:t>one or two (</w:t>
      </w:r>
      <w:r w:rsidRPr="00C0398B">
        <w:rPr>
          <w:rFonts w:ascii="Times New Roman" w:hAnsi="Times New Roman"/>
          <w:b/>
          <w:sz w:val="22"/>
          <w:szCs w:val="22"/>
        </w:rPr>
        <w:t>maximum of two</w:t>
      </w:r>
      <w:r>
        <w:rPr>
          <w:rFonts w:ascii="Times New Roman" w:hAnsi="Times New Roman"/>
          <w:sz w:val="22"/>
          <w:szCs w:val="22"/>
        </w:rPr>
        <w:t xml:space="preserve">) </w:t>
      </w:r>
      <w:r w:rsidRPr="00C0398B">
        <w:rPr>
          <w:rFonts w:ascii="Times New Roman" w:hAnsi="Times New Roman"/>
          <w:sz w:val="22"/>
          <w:szCs w:val="22"/>
        </w:rPr>
        <w:t xml:space="preserve">of the following </w:t>
      </w:r>
      <w:r>
        <w:rPr>
          <w:rFonts w:ascii="Times New Roman" w:hAnsi="Times New Roman"/>
          <w:sz w:val="22"/>
          <w:szCs w:val="22"/>
        </w:rPr>
        <w:t>services</w:t>
      </w:r>
      <w:r w:rsidRPr="00C0398B">
        <w:rPr>
          <w:rFonts w:ascii="Times New Roman" w:hAnsi="Times New Roman"/>
          <w:sz w:val="22"/>
          <w:szCs w:val="22"/>
        </w:rPr>
        <w:t>-  MD, MH, MDT, FI, VA</w:t>
      </w:r>
      <w:r>
        <w:rPr>
          <w:rFonts w:ascii="Times New Roman" w:hAnsi="Times New Roman"/>
          <w:sz w:val="22"/>
          <w:szCs w:val="22"/>
        </w:rPr>
        <w:t>.</w:t>
      </w:r>
      <w:r w:rsidRPr="00C0398B">
        <w:rPr>
          <w:rFonts w:ascii="Times New Roman" w:hAnsi="Times New Roman"/>
          <w:sz w:val="22"/>
          <w:szCs w:val="22"/>
        </w:rPr>
        <w:t xml:space="preserve"> </w:t>
      </w:r>
    </w:p>
    <w:p w:rsidR="00D83C8A" w:rsidRPr="00C0398B" w:rsidRDefault="00D83C8A" w:rsidP="00D83C8A">
      <w:pPr>
        <w:pStyle w:val="ListParagraph"/>
        <w:numPr>
          <w:ilvl w:val="5"/>
          <w:numId w:val="1"/>
        </w:numPr>
        <w:ind w:left="1800"/>
        <w:rPr>
          <w:rFonts w:ascii="Times New Roman" w:hAnsi="Times New Roman"/>
          <w:sz w:val="22"/>
          <w:szCs w:val="22"/>
        </w:rPr>
      </w:pPr>
      <w:r w:rsidRPr="00C0398B">
        <w:rPr>
          <w:rFonts w:ascii="Times New Roman" w:hAnsi="Times New Roman"/>
          <w:sz w:val="22"/>
          <w:szCs w:val="22"/>
        </w:rPr>
        <w:t xml:space="preserve">Adapting  the Child Focused Setting to safely provide services to youth with problematic sexual behaviors. </w:t>
      </w:r>
    </w:p>
    <w:p w:rsidR="00D83C8A" w:rsidRPr="00EC35C5" w:rsidRDefault="00D83C8A" w:rsidP="00D83C8A">
      <w:pPr>
        <w:ind w:left="1080"/>
        <w:rPr>
          <w:rFonts w:ascii="Times New Roman" w:hAnsi="Times New Roman"/>
          <w:sz w:val="22"/>
          <w:szCs w:val="22"/>
        </w:rPr>
      </w:pPr>
    </w:p>
    <w:p w:rsidR="00D83C8A" w:rsidRPr="00EC35C5" w:rsidRDefault="00D83C8A" w:rsidP="00D83C8A">
      <w:pPr>
        <w:spacing w:after="160" w:line="256" w:lineRule="auto"/>
        <w:contextualSpacing/>
        <w:jc w:val="both"/>
        <w:rPr>
          <w:rFonts w:ascii="Times New Roman" w:hAnsi="Times New Roman"/>
          <w:sz w:val="22"/>
          <w:szCs w:val="22"/>
        </w:rPr>
      </w:pPr>
      <w:r w:rsidRPr="00EC35C5">
        <w:rPr>
          <w:rFonts w:ascii="Times New Roman" w:hAnsi="Times New Roman"/>
          <w:sz w:val="22"/>
          <w:szCs w:val="22"/>
        </w:rPr>
        <w:t>The chapter may provide sub-awards for those CACs for whom it would be a hardship not to receive one and for whom this would not create a supplanting issue with their VOCA funds.</w:t>
      </w:r>
      <w:r>
        <w:rPr>
          <w:rFonts w:ascii="Times New Roman" w:hAnsi="Times New Roman"/>
          <w:sz w:val="22"/>
          <w:szCs w:val="22"/>
        </w:rPr>
        <w:t xml:space="preserve">  All items included in the budget must directly relate to the objectives and activities outlined in the grant application. </w:t>
      </w:r>
    </w:p>
    <w:p w:rsidR="00D83C8A" w:rsidRPr="00F03749" w:rsidRDefault="00D83C8A" w:rsidP="00D83C8A">
      <w:pPr>
        <w:jc w:val="both"/>
        <w:rPr>
          <w:rFonts w:ascii="Times New Roman" w:hAnsi="Times New Roman"/>
        </w:rPr>
      </w:pPr>
    </w:p>
    <w:p w:rsidR="00D83C8A" w:rsidRPr="00F03749" w:rsidRDefault="00D83C8A" w:rsidP="00D83C8A">
      <w:pPr>
        <w:jc w:val="both"/>
        <w:rPr>
          <w:rFonts w:ascii="Times New Roman" w:hAnsi="Times New Roman"/>
          <w:sz w:val="22"/>
          <w:szCs w:val="22"/>
        </w:rPr>
      </w:pPr>
      <w:r w:rsidRPr="00F03749">
        <w:rPr>
          <w:rFonts w:ascii="Times New Roman" w:hAnsi="Times New Roman"/>
          <w:sz w:val="22"/>
          <w:szCs w:val="22"/>
        </w:rPr>
        <w:t>*</w:t>
      </w:r>
      <w:r w:rsidRPr="00F03749">
        <w:rPr>
          <w:rFonts w:ascii="Times New Roman" w:hAnsi="Times New Roman"/>
          <w:b/>
          <w:sz w:val="22"/>
          <w:szCs w:val="22"/>
        </w:rPr>
        <w:t>Personnel</w:t>
      </w:r>
      <w:r w:rsidRPr="00F03749">
        <w:rPr>
          <w:rFonts w:ascii="Times New Roman" w:hAnsi="Times New Roman"/>
          <w:sz w:val="22"/>
          <w:szCs w:val="22"/>
        </w:rPr>
        <w:t xml:space="preserve"> – Time allocated to the provision of services for:</w:t>
      </w:r>
    </w:p>
    <w:p w:rsidR="00D83C8A" w:rsidRPr="00F03749" w:rsidRDefault="00D83C8A" w:rsidP="00D83C8A">
      <w:pPr>
        <w:pStyle w:val="NoSpacing"/>
        <w:numPr>
          <w:ilvl w:val="0"/>
          <w:numId w:val="2"/>
        </w:numPr>
        <w:jc w:val="both"/>
        <w:rPr>
          <w:rFonts w:ascii="Times New Roman" w:hAnsi="Times New Roman"/>
        </w:rPr>
      </w:pPr>
      <w:r w:rsidRPr="00F03749">
        <w:rPr>
          <w:rFonts w:ascii="Times New Roman" w:hAnsi="Times New Roman"/>
        </w:rPr>
        <w:t>Forensic Interviewers</w:t>
      </w:r>
    </w:p>
    <w:p w:rsidR="00D83C8A" w:rsidRPr="00F03749" w:rsidRDefault="00D83C8A" w:rsidP="00D83C8A">
      <w:pPr>
        <w:pStyle w:val="NoSpacing"/>
        <w:numPr>
          <w:ilvl w:val="0"/>
          <w:numId w:val="2"/>
        </w:numPr>
        <w:jc w:val="both"/>
        <w:rPr>
          <w:rFonts w:ascii="Times New Roman" w:hAnsi="Times New Roman"/>
        </w:rPr>
      </w:pPr>
      <w:r w:rsidRPr="00F03749">
        <w:rPr>
          <w:rFonts w:ascii="Times New Roman" w:hAnsi="Times New Roman"/>
        </w:rPr>
        <w:t>Medical Providers</w:t>
      </w:r>
    </w:p>
    <w:p w:rsidR="00D83C8A" w:rsidRPr="00F03749" w:rsidRDefault="00D83C8A" w:rsidP="00D83C8A">
      <w:pPr>
        <w:pStyle w:val="NoSpacing"/>
        <w:numPr>
          <w:ilvl w:val="0"/>
          <w:numId w:val="2"/>
        </w:numPr>
        <w:jc w:val="both"/>
        <w:rPr>
          <w:rFonts w:ascii="Times New Roman" w:hAnsi="Times New Roman"/>
        </w:rPr>
      </w:pPr>
      <w:r w:rsidRPr="00F03749">
        <w:rPr>
          <w:rFonts w:ascii="Times New Roman" w:hAnsi="Times New Roman"/>
        </w:rPr>
        <w:t>Victim Advocates</w:t>
      </w:r>
    </w:p>
    <w:p w:rsidR="00D83C8A" w:rsidRPr="00F03749" w:rsidRDefault="00D83C8A" w:rsidP="00D83C8A">
      <w:pPr>
        <w:pStyle w:val="NoSpacing"/>
        <w:numPr>
          <w:ilvl w:val="0"/>
          <w:numId w:val="2"/>
        </w:numPr>
        <w:jc w:val="both"/>
        <w:rPr>
          <w:rFonts w:ascii="Times New Roman" w:hAnsi="Times New Roman"/>
        </w:rPr>
      </w:pPr>
      <w:r w:rsidRPr="00F03749">
        <w:rPr>
          <w:rFonts w:ascii="Times New Roman" w:hAnsi="Times New Roman"/>
        </w:rPr>
        <w:t>Mental Health Providers</w:t>
      </w:r>
    </w:p>
    <w:p w:rsidR="00D83C8A" w:rsidRPr="00F03749" w:rsidRDefault="00D83C8A" w:rsidP="00D83C8A">
      <w:pPr>
        <w:pStyle w:val="NoSpacing"/>
        <w:numPr>
          <w:ilvl w:val="0"/>
          <w:numId w:val="2"/>
        </w:numPr>
        <w:jc w:val="both"/>
        <w:rPr>
          <w:rFonts w:ascii="Times New Roman" w:hAnsi="Times New Roman"/>
        </w:rPr>
      </w:pPr>
      <w:r w:rsidRPr="00F03749">
        <w:rPr>
          <w:rFonts w:ascii="Times New Roman" w:hAnsi="Times New Roman"/>
        </w:rPr>
        <w:t xml:space="preserve">Multidisciplinary Team coordinators </w:t>
      </w:r>
    </w:p>
    <w:p w:rsidR="00D83C8A" w:rsidRDefault="00D83C8A" w:rsidP="00D83C8A">
      <w:pPr>
        <w:pStyle w:val="NoSpacing"/>
        <w:numPr>
          <w:ilvl w:val="0"/>
          <w:numId w:val="2"/>
        </w:numPr>
        <w:jc w:val="both"/>
        <w:rPr>
          <w:rFonts w:ascii="Times New Roman" w:hAnsi="Times New Roman"/>
        </w:rPr>
      </w:pPr>
      <w:r w:rsidRPr="0016478F">
        <w:rPr>
          <w:rFonts w:ascii="Times New Roman" w:hAnsi="Times New Roman"/>
        </w:rPr>
        <w:t>Executive Directors and other Management Staff for time spend on CAC management and administrative support</w:t>
      </w:r>
    </w:p>
    <w:p w:rsidR="00D83C8A" w:rsidRPr="0016478F" w:rsidRDefault="00D83C8A" w:rsidP="00D83C8A">
      <w:pPr>
        <w:pStyle w:val="NoSpacing"/>
        <w:numPr>
          <w:ilvl w:val="0"/>
          <w:numId w:val="2"/>
        </w:numPr>
        <w:jc w:val="both"/>
        <w:rPr>
          <w:rFonts w:ascii="Times New Roman" w:hAnsi="Times New Roman"/>
        </w:rPr>
      </w:pPr>
      <w:r w:rsidRPr="0016478F">
        <w:rPr>
          <w:rFonts w:ascii="Times New Roman" w:hAnsi="Times New Roman"/>
        </w:rPr>
        <w:t xml:space="preserve">Other positions – staff members that have case data tracking such as </w:t>
      </w:r>
      <w:proofErr w:type="spellStart"/>
      <w:r w:rsidRPr="0016478F">
        <w:rPr>
          <w:rFonts w:ascii="Times New Roman" w:hAnsi="Times New Roman"/>
        </w:rPr>
        <w:t>NCAtrak</w:t>
      </w:r>
      <w:proofErr w:type="spellEnd"/>
      <w:r w:rsidRPr="0016478F">
        <w:rPr>
          <w:rFonts w:ascii="Times New Roman" w:hAnsi="Times New Roman"/>
        </w:rPr>
        <w:t xml:space="preserve"> and Outcome Measurement System responsibilities. </w:t>
      </w:r>
    </w:p>
    <w:p w:rsidR="00D83C8A" w:rsidRPr="00F03749" w:rsidRDefault="00D83C8A" w:rsidP="00D83C8A">
      <w:pPr>
        <w:pStyle w:val="NoSpacing"/>
        <w:ind w:left="1080"/>
        <w:jc w:val="both"/>
        <w:rPr>
          <w:rFonts w:ascii="Times New Roman" w:hAnsi="Times New Roman"/>
        </w:rPr>
      </w:pPr>
    </w:p>
    <w:p w:rsidR="00D83C8A" w:rsidRPr="00F03749" w:rsidRDefault="00D83C8A" w:rsidP="00D83C8A">
      <w:pPr>
        <w:pStyle w:val="NoSpacing"/>
        <w:rPr>
          <w:rFonts w:ascii="Times New Roman" w:hAnsi="Times New Roman"/>
        </w:rPr>
      </w:pPr>
    </w:p>
    <w:p w:rsidR="00D83C8A" w:rsidRPr="00603A77" w:rsidRDefault="00D83C8A" w:rsidP="00D83C8A">
      <w:pPr>
        <w:rPr>
          <w:rFonts w:ascii="Times New Roman" w:hAnsi="Times New Roman"/>
          <w:sz w:val="22"/>
          <w:szCs w:val="22"/>
        </w:rPr>
      </w:pPr>
      <w:r w:rsidRPr="00D4449F">
        <w:rPr>
          <w:rFonts w:ascii="Times New Roman" w:hAnsi="Times New Roman"/>
          <w:sz w:val="22"/>
        </w:rPr>
        <w:t xml:space="preserve">In all circumstances the timesheets submitted need to demonstrate the exact time allocated to NCA for the time spent on the goals and objectives outlined in the specific sub-award </w:t>
      </w:r>
      <w:r w:rsidRPr="00C0398B">
        <w:rPr>
          <w:rFonts w:ascii="Times New Roman" w:hAnsi="Times New Roman"/>
          <w:sz w:val="22"/>
        </w:rPr>
        <w:t>for</w:t>
      </w:r>
      <w:r>
        <w:rPr>
          <w:rFonts w:ascii="Times New Roman" w:hAnsi="Times New Roman"/>
          <w:sz w:val="22"/>
        </w:rPr>
        <w:t xml:space="preserve"> individuals listed in</w:t>
      </w:r>
      <w:r w:rsidRPr="00C0398B">
        <w:rPr>
          <w:rFonts w:ascii="Times New Roman" w:hAnsi="Times New Roman"/>
          <w:sz w:val="22"/>
        </w:rPr>
        <w:t xml:space="preserve"> the bulleted points listed above.</w:t>
      </w:r>
      <w:r>
        <w:rPr>
          <w:rFonts w:ascii="Times New Roman" w:hAnsi="Times New Roman"/>
          <w:sz w:val="22"/>
        </w:rPr>
        <w:t xml:space="preserve"> </w:t>
      </w:r>
      <w:r w:rsidRPr="00D4449F">
        <w:rPr>
          <w:rFonts w:ascii="Times New Roman" w:hAnsi="Times New Roman"/>
          <w:sz w:val="22"/>
        </w:rPr>
        <w:t xml:space="preserve"> </w:t>
      </w:r>
      <w:r>
        <w:rPr>
          <w:rFonts w:ascii="Times New Roman" w:hAnsi="Times New Roman"/>
          <w:sz w:val="22"/>
          <w:szCs w:val="22"/>
        </w:rPr>
        <w:t>If fringe benefits are requested to be reimbursed, such benefits must be allocated in the same manner as the salaries that are allocated to the grant. Fringe benefits can only be allocated for employees approved under the “personnel” grant category</w:t>
      </w:r>
      <w:r>
        <w:rPr>
          <w:rFonts w:ascii="Times New Roman" w:hAnsi="Times New Roman"/>
          <w:strike/>
          <w:sz w:val="22"/>
          <w:szCs w:val="22"/>
        </w:rPr>
        <w:t>.</w:t>
      </w:r>
    </w:p>
    <w:p w:rsidR="00D83C8A" w:rsidRPr="00F03749" w:rsidRDefault="00D83C8A" w:rsidP="00D83C8A">
      <w:pPr>
        <w:pStyle w:val="NoSpacing"/>
        <w:jc w:val="both"/>
        <w:rPr>
          <w:rFonts w:ascii="Times New Roman" w:hAnsi="Times New Roman"/>
        </w:rPr>
      </w:pPr>
    </w:p>
    <w:p w:rsidR="00D83C8A" w:rsidRPr="00F03749" w:rsidRDefault="00D83C8A" w:rsidP="00D83C8A">
      <w:pPr>
        <w:pStyle w:val="NoSpacing"/>
        <w:jc w:val="both"/>
        <w:rPr>
          <w:rFonts w:ascii="Times New Roman" w:hAnsi="Times New Roman"/>
        </w:rPr>
      </w:pPr>
    </w:p>
    <w:p w:rsidR="00D83C8A" w:rsidRPr="00F03749" w:rsidRDefault="00D83C8A" w:rsidP="00D83C8A">
      <w:pPr>
        <w:pStyle w:val="NoSpacing"/>
        <w:jc w:val="both"/>
        <w:rPr>
          <w:rFonts w:ascii="Times New Roman" w:hAnsi="Times New Roman"/>
        </w:rPr>
      </w:pPr>
    </w:p>
    <w:p w:rsidR="00D83C8A" w:rsidRPr="00F03749" w:rsidRDefault="00D83C8A" w:rsidP="00D83C8A">
      <w:pPr>
        <w:jc w:val="both"/>
        <w:rPr>
          <w:rFonts w:ascii="Times New Roman" w:hAnsi="Times New Roman"/>
          <w:b/>
          <w:sz w:val="22"/>
          <w:szCs w:val="22"/>
        </w:rPr>
      </w:pPr>
      <w:r w:rsidRPr="00F03749">
        <w:rPr>
          <w:rFonts w:ascii="Times New Roman" w:hAnsi="Times New Roman"/>
          <w:sz w:val="22"/>
          <w:szCs w:val="22"/>
        </w:rPr>
        <w:t>*</w:t>
      </w:r>
      <w:r w:rsidRPr="00F03749">
        <w:rPr>
          <w:rFonts w:ascii="Times New Roman" w:hAnsi="Times New Roman"/>
          <w:b/>
          <w:sz w:val="22"/>
          <w:szCs w:val="22"/>
        </w:rPr>
        <w:t xml:space="preserve">Consultant </w:t>
      </w:r>
    </w:p>
    <w:p w:rsidR="00D83C8A" w:rsidRPr="00F03749" w:rsidRDefault="00D83C8A" w:rsidP="00D83C8A">
      <w:pPr>
        <w:pStyle w:val="ListParagraph"/>
        <w:numPr>
          <w:ilvl w:val="0"/>
          <w:numId w:val="3"/>
        </w:numPr>
        <w:ind w:left="1440"/>
        <w:jc w:val="both"/>
        <w:rPr>
          <w:rFonts w:ascii="Times New Roman" w:hAnsi="Times New Roman"/>
          <w:sz w:val="22"/>
          <w:szCs w:val="22"/>
        </w:rPr>
      </w:pPr>
      <w:r w:rsidRPr="00F03749">
        <w:rPr>
          <w:rFonts w:ascii="Times New Roman" w:hAnsi="Times New Roman"/>
          <w:sz w:val="22"/>
          <w:szCs w:val="22"/>
        </w:rPr>
        <w:t xml:space="preserve">Contractual employees – time clearly allocated for provision of services under one of the </w:t>
      </w:r>
      <w:r>
        <w:rPr>
          <w:rFonts w:ascii="Times New Roman" w:hAnsi="Times New Roman"/>
          <w:sz w:val="22"/>
          <w:szCs w:val="22"/>
        </w:rPr>
        <w:t>areas</w:t>
      </w:r>
      <w:r w:rsidRPr="00F03749">
        <w:rPr>
          <w:rFonts w:ascii="Times New Roman" w:hAnsi="Times New Roman"/>
          <w:sz w:val="22"/>
          <w:szCs w:val="22"/>
        </w:rPr>
        <w:t xml:space="preserve"> listed above.</w:t>
      </w:r>
    </w:p>
    <w:p w:rsidR="00D83C8A" w:rsidRDefault="00D83C8A" w:rsidP="00D83C8A">
      <w:pPr>
        <w:pStyle w:val="ListParagraph"/>
        <w:numPr>
          <w:ilvl w:val="0"/>
          <w:numId w:val="3"/>
        </w:numPr>
        <w:ind w:left="1440"/>
        <w:jc w:val="both"/>
        <w:rPr>
          <w:rFonts w:ascii="Times New Roman" w:hAnsi="Times New Roman"/>
          <w:sz w:val="22"/>
          <w:szCs w:val="22"/>
        </w:rPr>
      </w:pPr>
      <w:r w:rsidRPr="00F03749">
        <w:rPr>
          <w:rFonts w:ascii="Times New Roman" w:hAnsi="Times New Roman"/>
          <w:sz w:val="22"/>
          <w:szCs w:val="22"/>
        </w:rPr>
        <w:t xml:space="preserve">Trainers – time spent on providing </w:t>
      </w:r>
      <w:r>
        <w:rPr>
          <w:rFonts w:ascii="Times New Roman" w:hAnsi="Times New Roman"/>
          <w:sz w:val="22"/>
          <w:szCs w:val="22"/>
        </w:rPr>
        <w:t xml:space="preserve">the actual </w:t>
      </w:r>
      <w:r w:rsidRPr="00F03749">
        <w:rPr>
          <w:rFonts w:ascii="Times New Roman" w:hAnsi="Times New Roman"/>
          <w:sz w:val="22"/>
          <w:szCs w:val="22"/>
        </w:rPr>
        <w:t xml:space="preserve">training </w:t>
      </w:r>
      <w:r>
        <w:rPr>
          <w:rFonts w:ascii="Times New Roman" w:hAnsi="Times New Roman"/>
          <w:sz w:val="22"/>
          <w:szCs w:val="22"/>
        </w:rPr>
        <w:t>and up to 8 hours prep time</w:t>
      </w:r>
      <w:r w:rsidRPr="00F03749">
        <w:rPr>
          <w:rFonts w:ascii="Times New Roman" w:hAnsi="Times New Roman"/>
          <w:sz w:val="22"/>
          <w:szCs w:val="22"/>
        </w:rPr>
        <w:t>.</w:t>
      </w:r>
    </w:p>
    <w:p w:rsidR="00D83C8A" w:rsidRDefault="00D83C8A" w:rsidP="00D83C8A">
      <w:pPr>
        <w:pStyle w:val="ListParagraph"/>
        <w:ind w:left="1440"/>
        <w:jc w:val="both"/>
        <w:rPr>
          <w:rFonts w:ascii="Times New Roman" w:hAnsi="Times New Roman"/>
          <w:sz w:val="22"/>
          <w:szCs w:val="22"/>
        </w:rPr>
      </w:pPr>
      <w:r>
        <w:rPr>
          <w:rFonts w:ascii="Times New Roman" w:hAnsi="Times New Roman"/>
          <w:sz w:val="22"/>
          <w:szCs w:val="22"/>
        </w:rPr>
        <w:t>(</w:t>
      </w:r>
      <w:r w:rsidRPr="00F03749">
        <w:rPr>
          <w:rFonts w:ascii="Times New Roman" w:hAnsi="Times New Roman"/>
          <w:sz w:val="22"/>
          <w:szCs w:val="22"/>
        </w:rPr>
        <w:t>for additional information on the specific line items, please review the Allowable/Unallowab</w:t>
      </w:r>
      <w:r>
        <w:rPr>
          <w:rFonts w:ascii="Times New Roman" w:hAnsi="Times New Roman"/>
          <w:sz w:val="22"/>
          <w:szCs w:val="22"/>
        </w:rPr>
        <w:t xml:space="preserve">le cost list in the </w:t>
      </w:r>
      <w:hyperlink r:id="rId5" w:history="1">
        <w:r w:rsidRPr="00D8600F">
          <w:rPr>
            <w:rStyle w:val="Hyperlink"/>
            <w:rFonts w:ascii="Times New Roman" w:hAnsi="Times New Roman"/>
            <w:sz w:val="22"/>
            <w:szCs w:val="22"/>
          </w:rPr>
          <w:t>NCA Grantee Electronic Handbook</w:t>
        </w:r>
      </w:hyperlink>
      <w:r>
        <w:rPr>
          <w:rFonts w:ascii="Times New Roman" w:hAnsi="Times New Roman"/>
          <w:sz w:val="22"/>
          <w:szCs w:val="22"/>
        </w:rPr>
        <w:t>)</w:t>
      </w:r>
    </w:p>
    <w:p w:rsidR="00D83C8A" w:rsidRPr="00F03749" w:rsidRDefault="00D83C8A" w:rsidP="00D83C8A">
      <w:pPr>
        <w:pStyle w:val="ListParagraph"/>
        <w:ind w:left="1440"/>
        <w:jc w:val="both"/>
        <w:rPr>
          <w:rFonts w:ascii="Times New Roman" w:hAnsi="Times New Roman"/>
          <w:sz w:val="22"/>
          <w:szCs w:val="22"/>
        </w:rPr>
      </w:pPr>
      <w:r>
        <w:rPr>
          <w:rFonts w:ascii="Times New Roman" w:hAnsi="Times New Roman"/>
          <w:sz w:val="22"/>
          <w:szCs w:val="22"/>
        </w:rPr>
        <w:lastRenderedPageBreak/>
        <w:t>All c</w:t>
      </w:r>
      <w:r w:rsidRPr="00C0398B">
        <w:rPr>
          <w:rFonts w:ascii="Times New Roman" w:hAnsi="Times New Roman"/>
          <w:sz w:val="22"/>
          <w:szCs w:val="22"/>
        </w:rPr>
        <w:t>ontractual employees</w:t>
      </w:r>
      <w:r>
        <w:rPr>
          <w:rFonts w:ascii="Times New Roman" w:hAnsi="Times New Roman"/>
          <w:sz w:val="22"/>
          <w:szCs w:val="22"/>
        </w:rPr>
        <w:t>, consultants</w:t>
      </w:r>
      <w:r w:rsidRPr="00C0398B">
        <w:rPr>
          <w:rFonts w:ascii="Times New Roman" w:hAnsi="Times New Roman"/>
          <w:sz w:val="22"/>
          <w:szCs w:val="22"/>
        </w:rPr>
        <w:t xml:space="preserve"> and trainers must complete a Certification of Effort.  An example is included in the NCA Grantee Electronic Handbook.</w:t>
      </w:r>
      <w:r>
        <w:rPr>
          <w:rFonts w:ascii="Times New Roman" w:hAnsi="Times New Roman"/>
          <w:sz w:val="22"/>
          <w:szCs w:val="22"/>
        </w:rPr>
        <w:t xml:space="preserve"> </w:t>
      </w:r>
    </w:p>
    <w:p w:rsidR="00D83C8A" w:rsidRPr="00F03749" w:rsidRDefault="00D83C8A" w:rsidP="00D83C8A">
      <w:pPr>
        <w:pStyle w:val="NoSpacing"/>
        <w:jc w:val="both"/>
        <w:rPr>
          <w:rFonts w:ascii="Times New Roman" w:hAnsi="Times New Roman"/>
        </w:rPr>
      </w:pPr>
    </w:p>
    <w:p w:rsidR="00D83C8A" w:rsidRPr="00F03749" w:rsidRDefault="00D83C8A" w:rsidP="00D83C8A">
      <w:pPr>
        <w:jc w:val="both"/>
        <w:rPr>
          <w:rFonts w:ascii="Times New Roman" w:hAnsi="Times New Roman"/>
          <w:sz w:val="22"/>
          <w:szCs w:val="22"/>
        </w:rPr>
      </w:pPr>
      <w:r w:rsidRPr="00F03749">
        <w:rPr>
          <w:rFonts w:ascii="Times New Roman" w:hAnsi="Times New Roman"/>
          <w:sz w:val="22"/>
          <w:szCs w:val="22"/>
        </w:rPr>
        <w:t>*</w:t>
      </w:r>
      <w:r w:rsidRPr="00F03749">
        <w:rPr>
          <w:rFonts w:ascii="Times New Roman" w:hAnsi="Times New Roman"/>
          <w:b/>
          <w:sz w:val="22"/>
          <w:szCs w:val="22"/>
        </w:rPr>
        <w:t xml:space="preserve">Rent </w:t>
      </w:r>
      <w:r w:rsidRPr="00F03749">
        <w:rPr>
          <w:rFonts w:ascii="Times New Roman" w:hAnsi="Times New Roman"/>
          <w:sz w:val="22"/>
          <w:szCs w:val="22"/>
        </w:rPr>
        <w:t>– rent costs attributable to the square footage of program service areas listed above, for example offices for FI personnel and forensic interview rooms.</w:t>
      </w:r>
    </w:p>
    <w:p w:rsidR="00D83C8A" w:rsidRPr="00F03749" w:rsidRDefault="00D83C8A" w:rsidP="00D83C8A">
      <w:pPr>
        <w:jc w:val="both"/>
        <w:rPr>
          <w:rFonts w:ascii="Times New Roman" w:hAnsi="Times New Roman"/>
          <w:sz w:val="22"/>
          <w:szCs w:val="22"/>
        </w:rPr>
      </w:pPr>
    </w:p>
    <w:p w:rsidR="00D83C8A" w:rsidRPr="00F03749" w:rsidRDefault="00D83C8A" w:rsidP="00D83C8A">
      <w:pPr>
        <w:jc w:val="both"/>
        <w:rPr>
          <w:rFonts w:ascii="Times New Roman" w:hAnsi="Times New Roman"/>
          <w:sz w:val="22"/>
          <w:szCs w:val="22"/>
        </w:rPr>
      </w:pPr>
      <w:r w:rsidRPr="00F03749">
        <w:rPr>
          <w:rFonts w:ascii="Times New Roman" w:hAnsi="Times New Roman"/>
          <w:sz w:val="22"/>
          <w:szCs w:val="22"/>
        </w:rPr>
        <w:t>*</w:t>
      </w:r>
      <w:r w:rsidRPr="00F03749">
        <w:rPr>
          <w:rFonts w:ascii="Times New Roman" w:hAnsi="Times New Roman"/>
          <w:b/>
          <w:sz w:val="22"/>
          <w:szCs w:val="22"/>
        </w:rPr>
        <w:t>Trainings</w:t>
      </w:r>
      <w:r>
        <w:rPr>
          <w:rFonts w:ascii="Times New Roman" w:hAnsi="Times New Roman"/>
          <w:b/>
          <w:sz w:val="22"/>
          <w:szCs w:val="22"/>
        </w:rPr>
        <w:t>/Travel</w:t>
      </w:r>
      <w:r w:rsidRPr="00F03749">
        <w:rPr>
          <w:rFonts w:ascii="Times New Roman" w:hAnsi="Times New Roman"/>
          <w:b/>
          <w:sz w:val="22"/>
          <w:szCs w:val="22"/>
        </w:rPr>
        <w:t xml:space="preserve"> – </w:t>
      </w:r>
      <w:r w:rsidRPr="00F03749">
        <w:rPr>
          <w:rFonts w:ascii="Times New Roman" w:hAnsi="Times New Roman"/>
          <w:sz w:val="22"/>
          <w:szCs w:val="22"/>
        </w:rPr>
        <w:t>travel costs for MD, MH, FI, VA, MDT trainings (for additional information on the specific line items, please review the Allowable/Unallowab</w:t>
      </w:r>
      <w:r>
        <w:rPr>
          <w:rFonts w:ascii="Times New Roman" w:hAnsi="Times New Roman"/>
          <w:sz w:val="22"/>
          <w:szCs w:val="22"/>
        </w:rPr>
        <w:t xml:space="preserve">le cost list in the </w:t>
      </w:r>
      <w:hyperlink r:id="rId6" w:history="1">
        <w:r w:rsidRPr="00D8600F">
          <w:rPr>
            <w:rStyle w:val="Hyperlink"/>
            <w:rFonts w:ascii="Times New Roman" w:hAnsi="Times New Roman"/>
            <w:sz w:val="22"/>
            <w:szCs w:val="22"/>
          </w:rPr>
          <w:t>NCA Grantee Electronic Handbook</w:t>
        </w:r>
      </w:hyperlink>
      <w:r w:rsidRPr="00C9695A">
        <w:rPr>
          <w:rFonts w:ascii="Times New Roman" w:hAnsi="Times New Roman"/>
          <w:sz w:val="22"/>
          <w:szCs w:val="22"/>
        </w:rPr>
        <w:t>)</w:t>
      </w:r>
    </w:p>
    <w:p w:rsidR="00D83C8A" w:rsidRPr="00F03749" w:rsidRDefault="00D83C8A" w:rsidP="00D83C8A">
      <w:pPr>
        <w:jc w:val="both"/>
        <w:rPr>
          <w:rFonts w:ascii="Times New Roman" w:hAnsi="Times New Roman"/>
          <w:b/>
          <w:sz w:val="22"/>
          <w:szCs w:val="22"/>
        </w:rPr>
      </w:pPr>
    </w:p>
    <w:p w:rsidR="00D83C8A" w:rsidRPr="00F03749" w:rsidRDefault="00D83C8A" w:rsidP="00D83C8A">
      <w:pPr>
        <w:jc w:val="both"/>
        <w:rPr>
          <w:rFonts w:ascii="Times New Roman" w:hAnsi="Times New Roman"/>
          <w:sz w:val="22"/>
          <w:szCs w:val="22"/>
        </w:rPr>
      </w:pPr>
      <w:r w:rsidRPr="00F03749">
        <w:rPr>
          <w:rFonts w:ascii="Times New Roman" w:hAnsi="Times New Roman"/>
          <w:b/>
          <w:sz w:val="22"/>
          <w:szCs w:val="22"/>
        </w:rPr>
        <w:t xml:space="preserve">*Insurance – </w:t>
      </w:r>
      <w:r w:rsidRPr="00F03749">
        <w:rPr>
          <w:rFonts w:ascii="Times New Roman" w:hAnsi="Times New Roman"/>
          <w:sz w:val="22"/>
          <w:szCs w:val="22"/>
        </w:rPr>
        <w:t>professional liability insurance for MH, FI, VA</w:t>
      </w:r>
    </w:p>
    <w:p w:rsidR="00D83C8A" w:rsidRPr="00F03749" w:rsidRDefault="00D83C8A" w:rsidP="00D83C8A">
      <w:pPr>
        <w:jc w:val="both"/>
        <w:rPr>
          <w:rFonts w:ascii="Times New Roman" w:hAnsi="Times New Roman"/>
          <w:sz w:val="22"/>
          <w:szCs w:val="22"/>
        </w:rPr>
      </w:pPr>
    </w:p>
    <w:p w:rsidR="00D83C8A" w:rsidRDefault="00D83C8A" w:rsidP="00D83C8A">
      <w:pPr>
        <w:jc w:val="both"/>
        <w:rPr>
          <w:rFonts w:ascii="Times New Roman" w:hAnsi="Times New Roman"/>
          <w:sz w:val="22"/>
          <w:szCs w:val="22"/>
        </w:rPr>
      </w:pPr>
      <w:r w:rsidRPr="00F03749">
        <w:rPr>
          <w:rFonts w:ascii="Times New Roman" w:hAnsi="Times New Roman"/>
          <w:sz w:val="22"/>
          <w:szCs w:val="22"/>
        </w:rPr>
        <w:t>*</w:t>
      </w:r>
      <w:r w:rsidRPr="00F03749">
        <w:rPr>
          <w:rFonts w:ascii="Times New Roman" w:hAnsi="Times New Roman"/>
          <w:b/>
          <w:sz w:val="22"/>
          <w:szCs w:val="22"/>
        </w:rPr>
        <w:t xml:space="preserve">Equipment – </w:t>
      </w:r>
      <w:r w:rsidRPr="00F03749">
        <w:rPr>
          <w:rFonts w:ascii="Times New Roman" w:hAnsi="Times New Roman"/>
          <w:sz w:val="22"/>
          <w:szCs w:val="22"/>
        </w:rPr>
        <w:t xml:space="preserve">forensic interview, medical, mental health** such as colposcopes, recording systems, etc. </w:t>
      </w:r>
      <w:r>
        <w:rPr>
          <w:rFonts w:ascii="Times New Roman" w:hAnsi="Times New Roman"/>
          <w:sz w:val="22"/>
          <w:szCs w:val="22"/>
        </w:rPr>
        <w:t xml:space="preserve">over $5000. </w:t>
      </w:r>
      <w:r w:rsidRPr="00C0398B">
        <w:rPr>
          <w:rFonts w:ascii="Times New Roman" w:hAnsi="Times New Roman"/>
          <w:sz w:val="22"/>
          <w:szCs w:val="22"/>
        </w:rPr>
        <w:t>Equipment costing less than $5000 is to be included in the Supplies category.</w:t>
      </w:r>
      <w:r>
        <w:rPr>
          <w:rFonts w:ascii="Times New Roman" w:hAnsi="Times New Roman"/>
          <w:sz w:val="22"/>
          <w:szCs w:val="22"/>
        </w:rPr>
        <w:t xml:space="preserve"> </w:t>
      </w:r>
    </w:p>
    <w:p w:rsidR="00D83C8A" w:rsidRDefault="00D83C8A" w:rsidP="00D83C8A">
      <w:pPr>
        <w:jc w:val="both"/>
        <w:rPr>
          <w:rFonts w:ascii="Times New Roman" w:hAnsi="Times New Roman"/>
          <w:sz w:val="22"/>
          <w:szCs w:val="22"/>
        </w:rPr>
      </w:pPr>
    </w:p>
    <w:p w:rsidR="00D83C8A" w:rsidRDefault="00D83C8A" w:rsidP="00D83C8A">
      <w:pPr>
        <w:jc w:val="both"/>
        <w:rPr>
          <w:rFonts w:ascii="Times New Roman" w:hAnsi="Times New Roman"/>
          <w:sz w:val="22"/>
          <w:szCs w:val="22"/>
        </w:rPr>
      </w:pPr>
      <w:r w:rsidRPr="00C0398B">
        <w:rPr>
          <w:rFonts w:ascii="Times New Roman" w:hAnsi="Times New Roman"/>
          <w:b/>
          <w:sz w:val="22"/>
          <w:szCs w:val="22"/>
        </w:rPr>
        <w:t>*Supplies</w:t>
      </w:r>
      <w:r w:rsidRPr="00C0398B">
        <w:rPr>
          <w:rFonts w:ascii="Times New Roman" w:hAnsi="Times New Roman"/>
          <w:sz w:val="22"/>
          <w:szCs w:val="22"/>
        </w:rPr>
        <w:t xml:space="preserve"> – Equipment costing less than $5000 that is related to forensic interviews, mental health, medical,  victim advocacy and OMS/NCA trak..  </w:t>
      </w:r>
      <w:r w:rsidRPr="00C0398B">
        <w:rPr>
          <w:rFonts w:ascii="Times New Roman" w:hAnsi="Times New Roman"/>
          <w:b/>
          <w:sz w:val="22"/>
          <w:szCs w:val="22"/>
        </w:rPr>
        <w:t>No general office suppies</w:t>
      </w:r>
      <w:r w:rsidRPr="00C0398B">
        <w:rPr>
          <w:rFonts w:ascii="Times New Roman" w:hAnsi="Times New Roman"/>
          <w:sz w:val="22"/>
          <w:szCs w:val="22"/>
        </w:rPr>
        <w:t>. Training materials related to MD, MH, FI, VA, and/or MDT trainings.</w:t>
      </w:r>
      <w:r>
        <w:rPr>
          <w:rFonts w:ascii="Times New Roman" w:hAnsi="Times New Roman"/>
          <w:sz w:val="22"/>
          <w:szCs w:val="22"/>
        </w:rPr>
        <w:t xml:space="preserve"> </w:t>
      </w:r>
    </w:p>
    <w:p w:rsidR="00D83C8A" w:rsidRDefault="00D83C8A" w:rsidP="00D83C8A">
      <w:pPr>
        <w:jc w:val="both"/>
        <w:rPr>
          <w:rFonts w:ascii="Times New Roman" w:hAnsi="Times New Roman"/>
          <w:sz w:val="22"/>
          <w:szCs w:val="22"/>
        </w:rPr>
      </w:pPr>
    </w:p>
    <w:p w:rsidR="00D83C8A" w:rsidRPr="00F03749" w:rsidRDefault="00D83C8A" w:rsidP="00D83C8A">
      <w:pPr>
        <w:jc w:val="both"/>
        <w:rPr>
          <w:rFonts w:ascii="Times New Roman" w:hAnsi="Times New Roman"/>
          <w:sz w:val="22"/>
          <w:szCs w:val="22"/>
        </w:rPr>
      </w:pPr>
      <w:r>
        <w:rPr>
          <w:rFonts w:ascii="Times New Roman" w:hAnsi="Times New Roman"/>
          <w:sz w:val="22"/>
          <w:szCs w:val="22"/>
        </w:rPr>
        <w:t>Security systems, alarms, cameras for a</w:t>
      </w:r>
      <w:r w:rsidRPr="00EC35C5">
        <w:rPr>
          <w:rFonts w:ascii="Times New Roman" w:hAnsi="Times New Roman"/>
          <w:sz w:val="22"/>
          <w:szCs w:val="22"/>
        </w:rPr>
        <w:t>dapting  the Child Focused Setting to safely provide services to youth with problematic sexual behaviors</w:t>
      </w:r>
      <w:r>
        <w:rPr>
          <w:rFonts w:ascii="Times New Roman" w:hAnsi="Times New Roman"/>
          <w:sz w:val="22"/>
          <w:szCs w:val="22"/>
        </w:rPr>
        <w:t>.</w:t>
      </w:r>
    </w:p>
    <w:p w:rsidR="00D83C8A" w:rsidRPr="00F03749" w:rsidRDefault="00D83C8A" w:rsidP="00D83C8A">
      <w:pPr>
        <w:jc w:val="both"/>
        <w:rPr>
          <w:rFonts w:ascii="Times New Roman" w:hAnsi="Times New Roman"/>
          <w:sz w:val="22"/>
          <w:szCs w:val="22"/>
        </w:rPr>
      </w:pPr>
    </w:p>
    <w:p w:rsidR="00D83C8A" w:rsidRDefault="00D83C8A" w:rsidP="00D83C8A">
      <w:pPr>
        <w:jc w:val="both"/>
        <w:rPr>
          <w:rFonts w:ascii="Times New Roman" w:hAnsi="Times New Roman"/>
          <w:sz w:val="22"/>
          <w:szCs w:val="22"/>
        </w:rPr>
      </w:pPr>
      <w:r w:rsidRPr="00F03749">
        <w:rPr>
          <w:rFonts w:ascii="Times New Roman" w:hAnsi="Times New Roman"/>
          <w:b/>
          <w:sz w:val="22"/>
          <w:szCs w:val="22"/>
        </w:rPr>
        <w:t xml:space="preserve">*Other </w:t>
      </w:r>
      <w:r>
        <w:rPr>
          <w:rFonts w:ascii="Times New Roman" w:hAnsi="Times New Roman"/>
          <w:sz w:val="22"/>
          <w:szCs w:val="22"/>
        </w:rPr>
        <w:t>–</w:t>
      </w:r>
    </w:p>
    <w:p w:rsidR="00D83C8A" w:rsidRDefault="00D83C8A" w:rsidP="00D83C8A">
      <w:pPr>
        <w:jc w:val="both"/>
        <w:rPr>
          <w:rFonts w:ascii="Times New Roman" w:hAnsi="Times New Roman"/>
          <w:sz w:val="22"/>
          <w:szCs w:val="22"/>
        </w:rPr>
      </w:pPr>
      <w:r w:rsidRPr="00F03749">
        <w:rPr>
          <w:rFonts w:ascii="Times New Roman" w:hAnsi="Times New Roman"/>
          <w:sz w:val="22"/>
          <w:szCs w:val="22"/>
        </w:rPr>
        <w:t xml:space="preserve">MH screening instruments and assessment tools </w:t>
      </w:r>
      <w:r w:rsidRPr="00C0398B">
        <w:rPr>
          <w:rFonts w:ascii="Times New Roman" w:hAnsi="Times New Roman"/>
          <w:sz w:val="22"/>
          <w:szCs w:val="22"/>
        </w:rPr>
        <w:t>for NCA approved evidence-based mental health models.</w:t>
      </w:r>
      <w:r>
        <w:rPr>
          <w:rFonts w:ascii="Times New Roman" w:hAnsi="Times New Roman"/>
          <w:sz w:val="22"/>
          <w:szCs w:val="22"/>
        </w:rPr>
        <w:t xml:space="preserve"> </w:t>
      </w:r>
    </w:p>
    <w:p w:rsidR="00D83C8A" w:rsidRPr="00C0398B" w:rsidRDefault="00D83C8A" w:rsidP="00D83C8A">
      <w:pPr>
        <w:jc w:val="both"/>
        <w:rPr>
          <w:rFonts w:ascii="Times New Roman" w:hAnsi="Times New Roman"/>
          <w:sz w:val="22"/>
          <w:szCs w:val="22"/>
        </w:rPr>
      </w:pPr>
      <w:r w:rsidRPr="00C0398B">
        <w:rPr>
          <w:rFonts w:ascii="Times New Roman" w:hAnsi="Times New Roman"/>
          <w:sz w:val="22"/>
          <w:szCs w:val="22"/>
        </w:rPr>
        <w:t xml:space="preserve">Registration fees for training for MD, MH, FI, VA, MDT trainings. </w:t>
      </w:r>
    </w:p>
    <w:p w:rsidR="00D83C8A" w:rsidRPr="00C0398B" w:rsidRDefault="00D83C8A" w:rsidP="00D83C8A">
      <w:pPr>
        <w:jc w:val="both"/>
        <w:rPr>
          <w:rFonts w:ascii="Times New Roman" w:hAnsi="Times New Roman"/>
          <w:sz w:val="22"/>
          <w:szCs w:val="22"/>
        </w:rPr>
      </w:pPr>
      <w:r w:rsidRPr="00C0398B">
        <w:rPr>
          <w:rFonts w:ascii="Times New Roman" w:hAnsi="Times New Roman"/>
          <w:sz w:val="22"/>
          <w:szCs w:val="22"/>
        </w:rPr>
        <w:t xml:space="preserve">Printing of materials related to MD, MH, FI, VA, MDT trainings or service provision. </w:t>
      </w:r>
    </w:p>
    <w:p w:rsidR="00D83C8A" w:rsidRPr="00C0398B" w:rsidRDefault="00D83C8A" w:rsidP="00D83C8A">
      <w:pPr>
        <w:jc w:val="both"/>
        <w:rPr>
          <w:rFonts w:ascii="Times New Roman" w:hAnsi="Times New Roman"/>
          <w:sz w:val="22"/>
          <w:szCs w:val="22"/>
        </w:rPr>
      </w:pPr>
      <w:r w:rsidRPr="00C0398B">
        <w:rPr>
          <w:rFonts w:ascii="Times New Roman" w:hAnsi="Times New Roman"/>
          <w:sz w:val="22"/>
          <w:szCs w:val="22"/>
        </w:rPr>
        <w:t>Subscriptions for NCAtrak</w:t>
      </w:r>
    </w:p>
    <w:p w:rsidR="00D83C8A" w:rsidRPr="00F03749" w:rsidRDefault="00D83C8A" w:rsidP="00D83C8A">
      <w:pPr>
        <w:jc w:val="both"/>
        <w:rPr>
          <w:rFonts w:ascii="Times New Roman" w:hAnsi="Times New Roman"/>
          <w:sz w:val="22"/>
          <w:szCs w:val="22"/>
        </w:rPr>
      </w:pPr>
      <w:r w:rsidRPr="00C0398B">
        <w:rPr>
          <w:rFonts w:ascii="Times New Roman" w:hAnsi="Times New Roman"/>
          <w:sz w:val="22"/>
          <w:szCs w:val="22"/>
        </w:rPr>
        <w:t>Subscriptions for online sofware related to CAC management or administration and/or MD, MN, FI, VA, MDT (must match the disciplines selected for your subgrant).</w:t>
      </w:r>
      <w:r>
        <w:rPr>
          <w:rFonts w:ascii="Times New Roman" w:hAnsi="Times New Roman"/>
          <w:sz w:val="22"/>
          <w:szCs w:val="22"/>
        </w:rPr>
        <w:t xml:space="preserve"> </w:t>
      </w:r>
    </w:p>
    <w:p w:rsidR="00811315" w:rsidRPr="00D83C8A" w:rsidRDefault="00811315" w:rsidP="00D83C8A"/>
    <w:sectPr w:rsidR="00811315" w:rsidRPr="00D83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6111D"/>
    <w:multiLevelType w:val="hybridMultilevel"/>
    <w:tmpl w:val="8EA82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B621A8"/>
    <w:multiLevelType w:val="hybridMultilevel"/>
    <w:tmpl w:val="DE145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07439C"/>
    <w:multiLevelType w:val="hybridMultilevel"/>
    <w:tmpl w:val="1C148A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A460E3"/>
    <w:multiLevelType w:val="hybridMultilevel"/>
    <w:tmpl w:val="63066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710413"/>
    <w:multiLevelType w:val="hybridMultilevel"/>
    <w:tmpl w:val="F77C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96"/>
    <w:rsid w:val="000913EA"/>
    <w:rsid w:val="001E2349"/>
    <w:rsid w:val="00506C96"/>
    <w:rsid w:val="00523A8F"/>
    <w:rsid w:val="006B2C81"/>
    <w:rsid w:val="007C78D8"/>
    <w:rsid w:val="00811315"/>
    <w:rsid w:val="00B42966"/>
    <w:rsid w:val="00C00F58"/>
    <w:rsid w:val="00D8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DAA73-25F9-476D-9F97-CF78BFF6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C96"/>
    <w:pPr>
      <w:spacing w:after="0" w:line="240" w:lineRule="auto"/>
    </w:pPr>
    <w:rPr>
      <w:rFonts w:ascii="CG Times (W1)" w:eastAsia="Times New Roman" w:hAnsi="CG Times (W1)" w:cs="Times New Roman"/>
      <w:noProof/>
      <w:sz w:val="20"/>
      <w:szCs w:val="20"/>
    </w:rPr>
  </w:style>
  <w:style w:type="paragraph" w:styleId="Heading2">
    <w:name w:val="heading 2"/>
    <w:basedOn w:val="Normal"/>
    <w:next w:val="Normal"/>
    <w:link w:val="Heading2Char"/>
    <w:qFormat/>
    <w:rsid w:val="00506C96"/>
    <w:pPr>
      <w:keepNext/>
      <w:spacing w:line="240" w:lineRule="atLeast"/>
      <w:jc w:val="center"/>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6C96"/>
    <w:rPr>
      <w:rFonts w:ascii="Arial" w:eastAsia="Times New Roman" w:hAnsi="Arial" w:cs="Times New Roman"/>
      <w:b/>
      <w:i/>
      <w:noProof/>
      <w:sz w:val="24"/>
      <w:szCs w:val="20"/>
    </w:rPr>
  </w:style>
  <w:style w:type="character" w:styleId="Hyperlink">
    <w:name w:val="Hyperlink"/>
    <w:rsid w:val="00506C96"/>
    <w:rPr>
      <w:color w:val="0000FF"/>
      <w:u w:val="single"/>
    </w:rPr>
  </w:style>
  <w:style w:type="paragraph" w:styleId="ListParagraph">
    <w:name w:val="List Paragraph"/>
    <w:basedOn w:val="Normal"/>
    <w:uiPriority w:val="34"/>
    <w:qFormat/>
    <w:rsid w:val="00506C96"/>
    <w:pPr>
      <w:ind w:left="720"/>
    </w:pPr>
  </w:style>
  <w:style w:type="paragraph" w:styleId="NoSpacing">
    <w:name w:val="No Spacing"/>
    <w:uiPriority w:val="1"/>
    <w:qFormat/>
    <w:rsid w:val="00506C96"/>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B42966"/>
    <w:rPr>
      <w:color w:val="954F72" w:themeColor="followedHyperlink"/>
      <w:u w:val="single"/>
    </w:rPr>
  </w:style>
  <w:style w:type="paragraph" w:customStyle="1" w:styleId="Default">
    <w:name w:val="Default"/>
    <w:rsid w:val="00B429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tionalchildrensalliance.org/members/2015-electronic-grantee-handbook-chapters" TargetMode="External"/><Relationship Id="rId5" Type="http://schemas.openxmlformats.org/officeDocument/2006/relationships/hyperlink" Target="http://nationalchildrensalliance.org/members/2015-electronic-grantee-handbook-chap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53163350.dotm</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Coordinator</dc:creator>
  <cp:keywords/>
  <dc:description/>
  <cp:lastModifiedBy>Jo Ann Hammond</cp:lastModifiedBy>
  <cp:revision>2</cp:revision>
  <dcterms:created xsi:type="dcterms:W3CDTF">2019-10-21T15:54:00Z</dcterms:created>
  <dcterms:modified xsi:type="dcterms:W3CDTF">2019-10-21T15:54:00Z</dcterms:modified>
</cp:coreProperties>
</file>